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5EA" w:rsidRDefault="00AA4FF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D25EA" w:rsidRDefault="00AA4FF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1.010704</w:t>
      </w:r>
    </w:p>
    <w:p w:rsidR="003D25EA" w:rsidRDefault="00AA4FF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3D25EA" w:rsidRDefault="00AA4FF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liên vận ASEAN</w:t>
      </w:r>
    </w:p>
    <w:p w:rsidR="003D25EA" w:rsidRDefault="00AA4FF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D25EA" w:rsidRDefault="00AA4FF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D25EA" w:rsidRDefault="00AA4FF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3D25EA" w:rsidRDefault="00AA4FFF">
      <w:pPr>
        <w:spacing w:after="0" w:line="276" w:lineRule="auto"/>
        <w:jc w:val="both"/>
      </w:pPr>
      <w:r>
        <w:rPr>
          <w:rFonts w:ascii="Times New Roman" w:eastAsia="Times New Roman" w:hAnsi="Times New Roman" w:cs="Times New Roman"/>
          <w:b/>
          <w:sz w:val="26"/>
        </w:rPr>
        <w:t xml:space="preserve">Trình tự thực hiện: </w:t>
      </w:r>
    </w:p>
    <w:p w:rsidR="003D25EA" w:rsidRDefault="003D25EA">
      <w:pPr>
        <w:shd w:val="clear" w:color="auto" w:fill="F2F6F9"/>
        <w:spacing w:before="120" w:after="0" w:line="276" w:lineRule="auto"/>
        <w:jc w:val="both"/>
      </w:pPr>
    </w:p>
    <w:p w:rsidR="003D25EA" w:rsidRDefault="00AA4FFF">
      <w:pPr>
        <w:spacing w:after="0" w:line="276" w:lineRule="auto"/>
        <w:jc w:val="both"/>
      </w:pPr>
      <w:r>
        <w:rPr>
          <w:rFonts w:ascii="Times New Roman" w:eastAsia="Times New Roman" w:hAnsi="Times New Roman" w:cs="Times New Roman"/>
          <w:sz w:val="26"/>
        </w:rPr>
        <w:t>a) Nộp hồ sơ</w:t>
      </w:r>
      <w:r>
        <w:rPr>
          <w:rFonts w:ascii="Times New Roman" w:eastAsia="Times New Roman" w:hAnsi="Times New Roman" w:cs="Times New Roman"/>
          <w:sz w:val="26"/>
        </w:rPr>
        <w:t xml:space="preserve"> TTHC: - Đơn vị kinh doanh vận tải nộp hồ sơ đề nghị cấp, cấp lại Giấy phép liên vận ASEAN đến Cơ quan chuyên môn thuộc Ủy ban nhân dân cấp tỉnh.</w:t>
      </w:r>
    </w:p>
    <w:p w:rsidR="003D25EA" w:rsidRDefault="00AA4FFF">
      <w:pPr>
        <w:spacing w:after="0" w:line="276" w:lineRule="auto"/>
        <w:jc w:val="both"/>
      </w:pPr>
      <w:r>
        <w:rPr>
          <w:rFonts w:ascii="Times New Roman" w:eastAsia="Times New Roman" w:hAnsi="Times New Roman" w:cs="Times New Roman"/>
          <w:sz w:val="26"/>
        </w:rPr>
        <w:t xml:space="preserve">b) Giải quyết TTHC: - Cơ quan chuyên môn thuộc Ủy ban nhân dân cấp tỉnh tiếp nhận, kiểm tra hồ sơ. Trường hợp </w:t>
      </w:r>
      <w:r>
        <w:rPr>
          <w:rFonts w:ascii="Times New Roman" w:eastAsia="Times New Roman" w:hAnsi="Times New Roman" w:cs="Times New Roman"/>
          <w:sz w:val="26"/>
        </w:rPr>
        <w:t>tiếp nhận hồ sơ trực tiếp tại Cơ quan chuyên môn thuộc Ủy ban nhân dân cấp tỉnh hoặc dịch vụ bưu chính, cán bộ tiếp nhận hồ sơ cập nhật thông tin của các hồ sơ đúng theo quy định vào hệ thống dịch vụ công trực tuyến của Cơ quan chuyên môn thuộc Ủy ban nhân</w:t>
      </w:r>
      <w:r>
        <w:rPr>
          <w:rFonts w:ascii="Times New Roman" w:eastAsia="Times New Roman" w:hAnsi="Times New Roman" w:cs="Times New Roman"/>
          <w:sz w:val="26"/>
        </w:rPr>
        <w:t xml:space="preserve"> dân cấp tỉnh. Trường hợp hồ sơ cần sửa đổi, bổ sung, Cơ quan chuyên môn thuộc Ủy ban nhân dân cấp tỉnh thông báo trực tiếp hoặc bằng văn bản hoặc qua hệ thống dịch vụ công trực tuyến cho đơn vị kinh doanh vận tải trong thời hạn 01 ngày làm việc kể từ ngày</w:t>
      </w:r>
      <w:r>
        <w:rPr>
          <w:rFonts w:ascii="Times New Roman" w:eastAsia="Times New Roman" w:hAnsi="Times New Roman" w:cs="Times New Roman"/>
          <w:sz w:val="26"/>
        </w:rPr>
        <w:t xml:space="preserve"> nhận hồ sơ; - Trong thời hạn 01 ngày làm việc kể từ ngày nhận đủ hồ sơ hợp lệ theo quy định, Cơ quan chuyên môn thuộc Ủy ban nhân dân cấp tỉnh thực hiện cấp Giấy phép liên vận ASEAN. Trường hợp không cấp, Cơ quan chuyên môn thuộc Ủy ban nhân dân cấp tỉnh </w:t>
      </w:r>
      <w:r>
        <w:rPr>
          <w:rFonts w:ascii="Times New Roman" w:eastAsia="Times New Roman" w:hAnsi="Times New Roman" w:cs="Times New Roman"/>
          <w:sz w:val="26"/>
        </w:rPr>
        <w:t>thông báo bằng văn bản hoặc qua hệ thống dịch vụ công trực tuyến và nêu rõ lý do; - Việc trả kết quả được thực hiện tại Cơ quan chuyên môn thuộc Ủy ban nhân dân cấp tỉnh hoặc dịch vụ bưu chính theo quy định.</w:t>
      </w:r>
    </w:p>
    <w:p w:rsidR="003D25EA" w:rsidRDefault="00AA4FF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3D25EA">
        <w:tblPrEx>
          <w:tblCellMar>
            <w:top w:w="0" w:type="dxa"/>
            <w:bottom w:w="0" w:type="dxa"/>
          </w:tblCellMar>
        </w:tblPrEx>
        <w:tc>
          <w:tcPr>
            <w:tcW w:w="15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Hình thức nộp</w:t>
            </w:r>
          </w:p>
        </w:tc>
        <w:tc>
          <w:tcPr>
            <w:tcW w:w="2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Thời hạn g</w:t>
            </w:r>
            <w:r>
              <w:rPr>
                <w:rFonts w:ascii="Times New Roman" w:eastAsia="Times New Roman" w:hAnsi="Times New Roman" w:cs="Times New Roman"/>
                <w:b/>
                <w:sz w:val="26"/>
              </w:rPr>
              <w:t>iải quyết</w:t>
            </w:r>
          </w:p>
        </w:tc>
        <w:tc>
          <w:tcPr>
            <w:tcW w:w="35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Phí, lệ phí</w:t>
            </w:r>
          </w:p>
        </w:tc>
        <w:tc>
          <w:tcPr>
            <w:tcW w:w="3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Mô tả</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Trực tiếp</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01 Ngày làm việc</w:t>
            </w:r>
          </w:p>
        </w:tc>
        <w:tc>
          <w:tcPr>
            <w:tcW w:w="0" w:type="auto"/>
          </w:tcPr>
          <w:p w:rsidR="003D25EA" w:rsidRDefault="003D25EA"/>
          <w:p w:rsidR="003D25EA" w:rsidRDefault="003D25EA">
            <w:pPr>
              <w:spacing w:after="0" w:line="276" w:lineRule="auto"/>
            </w:pP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Trực tuyến</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01 Ngày làm việc</w:t>
            </w:r>
          </w:p>
        </w:tc>
        <w:tc>
          <w:tcPr>
            <w:tcW w:w="0" w:type="auto"/>
          </w:tcPr>
          <w:p w:rsidR="003D25EA" w:rsidRDefault="003D25EA"/>
          <w:p w:rsidR="003D25EA" w:rsidRDefault="003D25EA">
            <w:pPr>
              <w:spacing w:after="0" w:line="276" w:lineRule="auto"/>
            </w:pP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 xml:space="preserve">Dịch vụ </w:t>
            </w:r>
            <w:r>
              <w:rPr>
                <w:rFonts w:ascii="Times New Roman" w:eastAsia="Times New Roman" w:hAnsi="Times New Roman" w:cs="Times New Roman"/>
                <w:sz w:val="26"/>
              </w:rPr>
              <w:lastRenderedPageBreak/>
              <w:t>bưu chính</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 xml:space="preserve">01 Ngày </w:t>
            </w:r>
            <w:r>
              <w:rPr>
                <w:rFonts w:ascii="Times New Roman" w:eastAsia="Times New Roman" w:hAnsi="Times New Roman" w:cs="Times New Roman"/>
                <w:sz w:val="26"/>
              </w:rPr>
              <w:lastRenderedPageBreak/>
              <w:t>làm việc</w:t>
            </w:r>
          </w:p>
        </w:tc>
        <w:tc>
          <w:tcPr>
            <w:tcW w:w="0" w:type="auto"/>
          </w:tcPr>
          <w:p w:rsidR="003D25EA" w:rsidRDefault="003D25EA"/>
          <w:p w:rsidR="003D25EA" w:rsidRDefault="003D25EA">
            <w:pPr>
              <w:spacing w:after="0" w:line="276" w:lineRule="auto"/>
            </w:pP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 xml:space="preserve">Trong thời hạn 01 ngày làm việc kể từ ngày </w:t>
            </w:r>
            <w:r>
              <w:rPr>
                <w:rFonts w:ascii="Times New Roman" w:eastAsia="Times New Roman" w:hAnsi="Times New Roman" w:cs="Times New Roman"/>
                <w:sz w:val="26"/>
              </w:rPr>
              <w:lastRenderedPageBreak/>
              <w:t>nhận đủ hồ sơ hợp lệ theo quy định</w:t>
            </w:r>
          </w:p>
        </w:tc>
      </w:tr>
    </w:tbl>
    <w:p w:rsidR="003D25EA" w:rsidRDefault="00AA4FFF">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3D25EA" w:rsidRDefault="00AA4FFF">
      <w:pPr>
        <w:shd w:val="clear" w:color="auto" w:fill="F2F6F9"/>
        <w:spacing w:before="120" w:after="0" w:line="276" w:lineRule="auto"/>
        <w:jc w:val="both"/>
      </w:pPr>
      <w:r>
        <w:rPr>
          <w:rFonts w:ascii="Times New Roman" w:eastAsia="Times New Roman" w:hAnsi="Times New Roman" w:cs="Times New Roman"/>
          <w:b/>
          <w:sz w:val="26"/>
        </w:rPr>
        <w:t>* Trường hợp cấp lại khi Giấy phép liên vận ASEAN bị hư hỏng, bị mất</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734"/>
        <w:gridCol w:w="1878"/>
        <w:gridCol w:w="1799"/>
      </w:tblGrid>
      <w:tr w:rsidR="003D25EA">
        <w:tblPrEx>
          <w:tblCellMar>
            <w:top w:w="0" w:type="dxa"/>
            <w:bottom w:w="0" w:type="dxa"/>
          </w:tblCellMar>
        </w:tblPrEx>
        <w:tc>
          <w:tcPr>
            <w:tcW w:w="6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Tên giấy tờ</w:t>
            </w:r>
          </w:p>
        </w:tc>
        <w:tc>
          <w:tcPr>
            <w:tcW w:w="2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Mẫu đơn, tờ khai</w:t>
            </w:r>
          </w:p>
        </w:tc>
        <w:tc>
          <w:tcPr>
            <w:tcW w:w="2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Số lượng</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Giấy đề</w:t>
            </w:r>
            <w:r>
              <w:rPr>
                <w:rFonts w:ascii="Times New Roman" w:eastAsia="Times New Roman" w:hAnsi="Times New Roman" w:cs="Times New Roman"/>
                <w:sz w:val="26"/>
              </w:rPr>
              <w:t xml:space="preserve"> nghị cấp, cấp lại Giấy phép liên vận ASEAN theo mẫu</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Mucb.docx</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3D25EA" w:rsidRDefault="00AA4FFF">
      <w:pPr>
        <w:shd w:val="clear" w:color="auto" w:fill="F2F6F9"/>
        <w:spacing w:before="120" w:after="0" w:line="276" w:lineRule="auto"/>
        <w:jc w:val="both"/>
      </w:pPr>
      <w:r>
        <w:rPr>
          <w:rFonts w:ascii="Times New Roman" w:eastAsia="Times New Roman" w:hAnsi="Times New Roman" w:cs="Times New Roman"/>
          <w:b/>
          <w:sz w:val="26"/>
        </w:rPr>
        <w:t xml:space="preserve">* Trường hợp cấp mới; cấp lại khi Giấy phép liên vận ASEAN hết thời hạn sử dụng hoặc còn thời hạn sử dụng nhưng hết trang đóng dấu xác nhận của các cơ quan quản lý </w:t>
      </w:r>
      <w:r>
        <w:rPr>
          <w:rFonts w:ascii="Times New Roman" w:eastAsia="Times New Roman" w:hAnsi="Times New Roman" w:cs="Times New Roman"/>
          <w:b/>
          <w:sz w:val="26"/>
        </w:rPr>
        <w:t>tại cửa khẩu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13"/>
        <w:gridCol w:w="1359"/>
        <w:gridCol w:w="939"/>
      </w:tblGrid>
      <w:tr w:rsidR="003D25EA">
        <w:tblPrEx>
          <w:tblCellMar>
            <w:top w:w="0" w:type="dxa"/>
            <w:bottom w:w="0" w:type="dxa"/>
          </w:tblCellMar>
        </w:tblPrEx>
        <w:tc>
          <w:tcPr>
            <w:tcW w:w="6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Tên giấy tờ</w:t>
            </w:r>
          </w:p>
        </w:tc>
        <w:tc>
          <w:tcPr>
            <w:tcW w:w="2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Mẫu đơn, tờ khai</w:t>
            </w:r>
          </w:p>
        </w:tc>
        <w:tc>
          <w:tcPr>
            <w:tcW w:w="2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Số lượng</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Giấy đề nghị cấp, cấp lại Giấy phép liên vận ASEAN theo mẫu</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Mucb.docx</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Giấy chứng nhận đăng ký xe ô tô hoặc giấy hẹn nhận giấy chứng nhận đăng ký xe ô tô của cơ quan có thẩm</w:t>
            </w:r>
            <w:r>
              <w:rPr>
                <w:rFonts w:ascii="Times New Roman" w:eastAsia="Times New Roman" w:hAnsi="Times New Roman" w:cs="Times New Roman"/>
                <w:sz w:val="26"/>
              </w:rPr>
              <w:t xml:space="preserve">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w:t>
            </w:r>
            <w:r>
              <w:rPr>
                <w:rFonts w:ascii="Times New Roman" w:eastAsia="Times New Roman" w:hAnsi="Times New Roman" w:cs="Times New Roman"/>
                <w:sz w:val="26"/>
              </w:rPr>
              <w:t>thêm bản sao hoặc bản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tác</w:t>
            </w:r>
            <w:r>
              <w:rPr>
                <w:rFonts w:ascii="Times New Roman" w:eastAsia="Times New Roman" w:hAnsi="Times New Roman" w:cs="Times New Roman"/>
                <w:sz w:val="26"/>
              </w:rPr>
              <w:t xml:space="preserve"> xã hoặc hợp đồng hợp tác kinh doanh hoặc hợp đồng cho thuê tài chính (đối với trường hợp cho thuê tài chính)</w:t>
            </w:r>
          </w:p>
        </w:tc>
        <w:tc>
          <w:tcPr>
            <w:tcW w:w="0" w:type="auto"/>
          </w:tcPr>
          <w:p w:rsidR="003D25EA" w:rsidRDefault="003D25EA"/>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3D25EA" w:rsidRDefault="00AA4FF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Hợ</w:t>
      </w:r>
      <w:r>
        <w:rPr>
          <w:rFonts w:ascii="Times New Roman" w:eastAsia="Times New Roman" w:hAnsi="Times New Roman" w:cs="Times New Roman"/>
          <w:sz w:val="26"/>
        </w:rPr>
        <w:t>p tác xã</w:t>
      </w:r>
    </w:p>
    <w:p w:rsidR="003D25EA" w:rsidRDefault="00AA4FF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3D25EA" w:rsidRDefault="00AA4FFF">
      <w:pPr>
        <w:spacing w:after="0" w:line="276" w:lineRule="auto"/>
        <w:jc w:val="both"/>
      </w:pPr>
      <w:r>
        <w:rPr>
          <w:rFonts w:ascii="Times New Roman" w:eastAsia="Times New Roman" w:hAnsi="Times New Roman" w:cs="Times New Roman"/>
          <w:b/>
          <w:sz w:val="26"/>
        </w:rPr>
        <w:lastRenderedPageBreak/>
        <w:t xml:space="preserve">Cơ quan có thẩm quyền: </w:t>
      </w:r>
      <w:r>
        <w:rPr>
          <w:rFonts w:ascii="Times New Roman" w:eastAsia="Times New Roman" w:hAnsi="Times New Roman" w:cs="Times New Roman"/>
          <w:sz w:val="26"/>
        </w:rPr>
        <w:t>Không có thông tin</w:t>
      </w:r>
    </w:p>
    <w:p w:rsidR="003D25EA" w:rsidRDefault="00AA4FF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D25EA" w:rsidRDefault="00AA4FF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D25EA" w:rsidRDefault="00AA4FF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D25EA" w:rsidRDefault="00AA4FF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phép liên vận </w:t>
      </w:r>
      <w:r>
        <w:rPr>
          <w:rFonts w:ascii="Times New Roman" w:eastAsia="Times New Roman" w:hAnsi="Times New Roman" w:cs="Times New Roman"/>
          <w:sz w:val="26"/>
        </w:rPr>
        <w:t>ASEAN.</w:t>
      </w:r>
    </w:p>
    <w:p w:rsidR="003D25EA" w:rsidRDefault="00AA4FFF">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3D25EA">
        <w:tblPrEx>
          <w:tblCellMar>
            <w:top w:w="0" w:type="dxa"/>
            <w:bottom w:w="0" w:type="dxa"/>
          </w:tblCellMar>
        </w:tblPrEx>
        <w:tc>
          <w:tcPr>
            <w:tcW w:w="2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Số ký hiệu</w:t>
            </w:r>
          </w:p>
        </w:tc>
        <w:tc>
          <w:tcPr>
            <w:tcW w:w="35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Trích yếu</w:t>
            </w:r>
          </w:p>
        </w:tc>
        <w:tc>
          <w:tcPr>
            <w:tcW w:w="15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Ngày ban hành</w:t>
            </w:r>
          </w:p>
        </w:tc>
        <w:tc>
          <w:tcPr>
            <w:tcW w:w="3000" w:type="dxa"/>
          </w:tcPr>
          <w:p w:rsidR="003D25EA" w:rsidRDefault="003D25EA"/>
          <w:p w:rsidR="003D25EA" w:rsidRDefault="00AA4FFF">
            <w:pPr>
              <w:spacing w:after="0" w:line="276" w:lineRule="auto"/>
              <w:jc w:val="center"/>
            </w:pPr>
            <w:r>
              <w:rPr>
                <w:rFonts w:ascii="Times New Roman" w:eastAsia="Times New Roman" w:hAnsi="Times New Roman" w:cs="Times New Roman"/>
                <w:b/>
                <w:sz w:val="26"/>
              </w:rPr>
              <w:t>Cơ quan ban hành</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158/2024/NĐ-CP</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18-12-2024</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Chính phủ</w:t>
            </w:r>
          </w:p>
        </w:tc>
      </w:tr>
      <w:tr w:rsidR="003D25EA">
        <w:tblPrEx>
          <w:tblCellMar>
            <w:top w:w="0" w:type="dxa"/>
            <w:bottom w:w="0" w:type="dxa"/>
          </w:tblCellMar>
        </w:tblPrEx>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144/2025/NĐ-CP</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 xml:space="preserve">quy định về phân quyền, phân cấp trong lĩnh vực quản lý nhà nước của Bộ Xây </w:t>
            </w:r>
            <w:r>
              <w:rPr>
                <w:rFonts w:ascii="Times New Roman" w:eastAsia="Times New Roman" w:hAnsi="Times New Roman" w:cs="Times New Roman"/>
                <w:sz w:val="26"/>
              </w:rPr>
              <w:t>dựng</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12-06-2025</w:t>
            </w:r>
          </w:p>
        </w:tc>
        <w:tc>
          <w:tcPr>
            <w:tcW w:w="0" w:type="auto"/>
          </w:tcPr>
          <w:p w:rsidR="003D25EA" w:rsidRDefault="003D25EA"/>
          <w:p w:rsidR="003D25EA" w:rsidRDefault="00AA4FFF">
            <w:pPr>
              <w:spacing w:after="0" w:line="276" w:lineRule="auto"/>
            </w:pPr>
            <w:r>
              <w:rPr>
                <w:rFonts w:ascii="Times New Roman" w:eastAsia="Times New Roman" w:hAnsi="Times New Roman" w:cs="Times New Roman"/>
                <w:sz w:val="26"/>
              </w:rPr>
              <w:t>Chính phủ</w:t>
            </w:r>
          </w:p>
        </w:tc>
      </w:tr>
    </w:tbl>
    <w:p w:rsidR="003D25EA" w:rsidRDefault="00AA4FF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Giấy phép liên vận ASEAN được cấp cho các phương tiện thuộc quyền sử dụng hợp pháp của các đơn vị kinh doanh vận tải đã được cấp Giấy phép vận tải đường bộ quốc tế ASEAN. - Giấy phép liên vận ASE</w:t>
      </w:r>
      <w:r>
        <w:rPr>
          <w:rFonts w:ascii="Times New Roman" w:eastAsia="Times New Roman" w:hAnsi="Times New Roman" w:cs="Times New Roman"/>
          <w:sz w:val="26"/>
        </w:rPr>
        <w:t>AN được cấp lại trong trường hợp hết thời hạn sử dụng hoặc còn thời hạn sử dụng nhưng hết trang đóng dấu xác nhận của các cơ quan quản lý tại cửa khẩu hoặc bị hư hỏng, bị mất.</w:t>
      </w:r>
    </w:p>
    <w:p w:rsidR="003D25EA" w:rsidRDefault="00AA4FF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D25EA" w:rsidRDefault="00AA4FF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D25EA">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D25EA"/>
    <w:rsid w:val="003D25EA"/>
    <w:rsid w:val="00AA4FF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FDC1CC-1D52-4EEF-94A8-83043118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3673</Characters>
  <Application>Microsoft Office Word</Application>
  <DocSecurity>0</DocSecurity>
  <Lines>30</Lines>
  <Paragraphs>8</Paragraphs>
  <ScaleCrop>false</ScaleCrop>
  <Company>Microsoft</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